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2E0484" w:rsidRDefault="00F36B87" w:rsidP="00523F6E">
      <w:pPr>
        <w:pStyle w:val="Titre1"/>
        <w:spacing w:after="60"/>
        <w:jc w:val="center"/>
        <w:rPr>
          <w:color w:val="0079C2"/>
          <w:sz w:val="36"/>
          <w:szCs w:val="36"/>
          <w:lang w:val="fr-FR"/>
        </w:rPr>
      </w:pPr>
      <w:r>
        <w:rPr>
          <w:color w:val="0079C2"/>
          <w:sz w:val="36"/>
          <w:szCs w:val="36"/>
          <w:lang w:val="fr-FR"/>
        </w:rPr>
        <w:t>T</w:t>
      </w:r>
      <w:r w:rsidRPr="00F36B87">
        <w:rPr>
          <w:color w:val="0079C2"/>
          <w:sz w:val="36"/>
          <w:szCs w:val="36"/>
          <w:lang w:val="fr-FR"/>
        </w:rPr>
        <w:t>opcon annonce le perfectionnement des kits UAS</w:t>
      </w:r>
      <w:r w:rsidR="00D70734" w:rsidRPr="002E0484">
        <w:rPr>
          <w:color w:val="0079C2"/>
          <w:sz w:val="36"/>
          <w:szCs w:val="36"/>
          <w:lang w:val="fr-FR"/>
        </w:rPr>
        <w:t>.</w:t>
      </w:r>
    </w:p>
    <w:p w:rsidR="0074361C" w:rsidRDefault="0074361C" w:rsidP="003E170C">
      <w:pPr>
        <w:spacing w:after="120"/>
        <w:jc w:val="both"/>
        <w:rPr>
          <w:rFonts w:ascii="Arial" w:hAnsi="Arial"/>
          <w:i/>
          <w:iCs/>
          <w:color w:val="000000"/>
          <w:sz w:val="20"/>
          <w:szCs w:val="20"/>
          <w:lang w:val="fr-FR"/>
        </w:rPr>
      </w:pPr>
    </w:p>
    <w:p w:rsidR="00D066F2" w:rsidRPr="00D066F2" w:rsidRDefault="00D066F2" w:rsidP="00D066F2">
      <w:pPr>
        <w:pStyle w:val="NormalWeb"/>
        <w:jc w:val="both"/>
        <w:rPr>
          <w:rFonts w:ascii="Arial" w:hAnsi="Arial" w:cs="Arial"/>
          <w:lang w:val="fr-FR"/>
        </w:rPr>
      </w:pPr>
      <w:r w:rsidRPr="00D066F2">
        <w:rPr>
          <w:rStyle w:val="Accentuation"/>
          <w:rFonts w:ascii="Arial" w:hAnsi="Arial" w:cs="Arial"/>
          <w:lang w:val="fr-FR"/>
        </w:rPr>
        <w:t xml:space="preserve">MÂCON, France – </w:t>
      </w:r>
      <w:r>
        <w:rPr>
          <w:rStyle w:val="Accentuation"/>
          <w:rFonts w:ascii="Arial" w:hAnsi="Arial" w:cs="Arial"/>
          <w:lang w:val="fr-FR"/>
        </w:rPr>
        <w:t>11 octobre 2016</w:t>
      </w:r>
      <w:r w:rsidRPr="00D066F2">
        <w:rPr>
          <w:rStyle w:val="Accentuation"/>
          <w:rFonts w:ascii="Arial" w:hAnsi="Arial" w:cs="Arial"/>
          <w:lang w:val="fr-FR"/>
        </w:rPr>
        <w:t xml:space="preserve"> –</w:t>
      </w:r>
      <w:r w:rsidRPr="00D066F2">
        <w:rPr>
          <w:rFonts w:ascii="Arial" w:hAnsi="Arial" w:cs="Arial"/>
          <w:lang w:val="fr-FR"/>
        </w:rPr>
        <w:t xml:space="preserve"> Le groupe Topcon Positioning annonce la sortie de Delta Solutions – son nouveau système de surveillance des déformations. Reposant sur un système de composants logiciel et matériel – Delta Link, Delta Log, Delta Watch, Delta </w:t>
      </w:r>
      <w:proofErr w:type="spellStart"/>
      <w:r w:rsidRPr="00D066F2">
        <w:rPr>
          <w:rFonts w:ascii="Arial" w:hAnsi="Arial" w:cs="Arial"/>
          <w:lang w:val="fr-FR"/>
        </w:rPr>
        <w:t>Sat</w:t>
      </w:r>
      <w:proofErr w:type="spellEnd"/>
      <w:r w:rsidRPr="00D066F2">
        <w:rPr>
          <w:rFonts w:ascii="Arial" w:hAnsi="Arial" w:cs="Arial"/>
          <w:lang w:val="fr-FR"/>
        </w:rPr>
        <w:t xml:space="preserve"> et la</w:t>
      </w:r>
      <w:r w:rsidRPr="00D066F2">
        <w:rPr>
          <w:rStyle w:val="apple-converted-space"/>
          <w:rFonts w:ascii="Arial" w:hAnsi="Arial" w:cs="Arial"/>
          <w:lang w:val="fr-FR"/>
        </w:rPr>
        <w:t> </w:t>
      </w:r>
      <w:hyperlink r:id="rId8" w:history="1">
        <w:r w:rsidRPr="00D066F2">
          <w:rPr>
            <w:rStyle w:val="Lienhypertexte"/>
            <w:rFonts w:ascii="Arial" w:hAnsi="Arial" w:cs="Arial"/>
            <w:color w:val="auto"/>
            <w:lang w:val="fr-FR"/>
          </w:rPr>
          <w:t>station totale MS AXII</w:t>
        </w:r>
      </w:hyperlink>
      <w:r w:rsidRPr="00D066F2">
        <w:rPr>
          <w:rStyle w:val="apple-converted-space"/>
          <w:rFonts w:ascii="Arial" w:hAnsi="Arial" w:cs="Arial"/>
          <w:lang w:val="fr-FR"/>
        </w:rPr>
        <w:t> </w:t>
      </w:r>
      <w:r w:rsidRPr="00D066F2">
        <w:rPr>
          <w:rFonts w:ascii="Arial" w:hAnsi="Arial" w:cs="Arial"/>
          <w:lang w:val="fr-FR"/>
        </w:rPr>
        <w:t>–, Delta Solutions est conçu pour fournir des mesures de surveillance précises et fiables, et d’en établir des rapports afin de protéger les actifs.</w:t>
      </w:r>
    </w:p>
    <w:p w:rsidR="00D066F2" w:rsidRPr="00D066F2" w:rsidRDefault="00D066F2" w:rsidP="00D066F2">
      <w:pPr>
        <w:pStyle w:val="NormalWeb"/>
        <w:jc w:val="both"/>
        <w:rPr>
          <w:rFonts w:ascii="Arial" w:hAnsi="Arial" w:cs="Arial"/>
          <w:lang w:val="fr-FR"/>
        </w:rPr>
      </w:pPr>
      <w:r w:rsidRPr="00D066F2">
        <w:rPr>
          <w:rFonts w:ascii="Arial" w:hAnsi="Arial" w:cs="Arial"/>
          <w:lang w:val="fr-FR"/>
        </w:rPr>
        <w:t xml:space="preserve">Le système utilise la station totale Topcon MS AXII, combinée au logiciel Delta Watch de Topcon, conçu pour surveiller, gérer et évaluer les données de surveillance ainsi que les alertes de déclenchement disponibles en option. « Logiciel autonome, Delta Watch fournit des données précises et fiables dans différents formats de rapport afin de répondre le mieux possible aux besoins d’un projet », explique Ian </w:t>
      </w:r>
      <w:proofErr w:type="spellStart"/>
      <w:r w:rsidRPr="00D066F2">
        <w:rPr>
          <w:rFonts w:ascii="Arial" w:hAnsi="Arial" w:cs="Arial"/>
          <w:lang w:val="fr-FR"/>
        </w:rPr>
        <w:t>Stilgoe</w:t>
      </w:r>
      <w:proofErr w:type="spellEnd"/>
      <w:r w:rsidRPr="00D066F2">
        <w:rPr>
          <w:rFonts w:ascii="Arial" w:hAnsi="Arial" w:cs="Arial"/>
          <w:lang w:val="fr-FR"/>
        </w:rPr>
        <w:t>, Vice-Président Géomatique au sein du groupe Topcon Positioning. « Les données provenant de la station totale, des récepteurs GNSS, des appareils de terrassement et des capteurs peuvent être traitées et analysées individuellement ou sous forme de solution adaptée au réseau.</w:t>
      </w:r>
    </w:p>
    <w:p w:rsidR="00D066F2" w:rsidRDefault="00D066F2" w:rsidP="00D066F2">
      <w:pPr>
        <w:pStyle w:val="NormalWeb"/>
        <w:jc w:val="center"/>
        <w:rPr>
          <w:rFonts w:ascii="Arial" w:hAnsi="Arial" w:cs="Arial"/>
          <w:color w:val="646363"/>
        </w:rPr>
      </w:pPr>
      <w:r>
        <w:rPr>
          <w:rFonts w:ascii="Arial" w:hAnsi="Arial" w:cs="Arial"/>
          <w:noProof/>
          <w:color w:val="646363"/>
          <w:lang w:val="fr-FR" w:eastAsia="fr-FR"/>
        </w:rPr>
        <w:drawing>
          <wp:inline distT="0" distB="0" distL="0" distR="0">
            <wp:extent cx="3810000" cy="4290060"/>
            <wp:effectExtent l="0" t="0" r="0" b="0"/>
            <wp:docPr id="2" name="Image 2" descr="https://c.na19.content.force.com/servlet/servlet.ImageServer?id=01513000002iqaY&amp;oid=00D30000000X7qS&amp;lastMod=147618953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a19.content.force.com/servlet/servlet.ImageServer?id=01513000002iqaY&amp;oid=00D30000000X7qS&amp;lastMod=14761895300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4290060"/>
                    </a:xfrm>
                    <a:prstGeom prst="rect">
                      <a:avLst/>
                    </a:prstGeom>
                    <a:noFill/>
                    <a:ln>
                      <a:noFill/>
                    </a:ln>
                  </pic:spPr>
                </pic:pic>
              </a:graphicData>
            </a:graphic>
          </wp:inline>
        </w:drawing>
      </w:r>
    </w:p>
    <w:p w:rsidR="00D066F2" w:rsidRPr="00D066F2" w:rsidRDefault="00D066F2" w:rsidP="00D066F2">
      <w:pPr>
        <w:pStyle w:val="NormalWeb"/>
        <w:jc w:val="both"/>
        <w:rPr>
          <w:rStyle w:val="apple-converted-space"/>
          <w:rFonts w:ascii="Arial" w:hAnsi="Arial" w:cs="Arial"/>
          <w:color w:val="222222"/>
          <w:lang w:val="fr-FR"/>
        </w:rPr>
      </w:pPr>
      <w:r w:rsidRPr="00D066F2">
        <w:rPr>
          <w:rStyle w:val="apple-converted-space"/>
          <w:rFonts w:ascii="Arial" w:hAnsi="Arial" w:cs="Arial"/>
          <w:color w:val="222222"/>
          <w:lang w:val="fr-FR"/>
        </w:rPr>
        <w:t>Delta Link de Topcon fournit une communication de support matériel permettant de réaliser des opérations de manière autonome sur le terrain », dit-il. « Delta Link gère chaque source d’électricité, maximisant ainsi la disponibilité du système.</w:t>
      </w:r>
    </w:p>
    <w:p w:rsidR="00D066F2" w:rsidRPr="00D066F2" w:rsidRDefault="00D066F2" w:rsidP="00D066F2">
      <w:pPr>
        <w:pStyle w:val="NormalWeb"/>
        <w:jc w:val="both"/>
        <w:rPr>
          <w:rStyle w:val="apple-converted-space"/>
          <w:rFonts w:ascii="Arial" w:hAnsi="Arial" w:cs="Arial"/>
          <w:color w:val="222222"/>
          <w:lang w:val="fr-FR"/>
        </w:rPr>
      </w:pPr>
      <w:r w:rsidRPr="00D066F2">
        <w:rPr>
          <w:rStyle w:val="apple-converted-space"/>
          <w:rFonts w:ascii="Arial" w:hAnsi="Arial" w:cs="Arial"/>
          <w:color w:val="222222"/>
          <w:lang w:val="fr-FR"/>
        </w:rPr>
        <w:t xml:space="preserve">Parmi les options de communication, on trouve l’Ethernet, le </w:t>
      </w:r>
      <w:proofErr w:type="spellStart"/>
      <w:r w:rsidRPr="00D066F2">
        <w:rPr>
          <w:rStyle w:val="apple-converted-space"/>
          <w:rFonts w:ascii="Arial" w:hAnsi="Arial" w:cs="Arial"/>
          <w:color w:val="222222"/>
          <w:lang w:val="fr-FR"/>
        </w:rPr>
        <w:t>WiFi</w:t>
      </w:r>
      <w:proofErr w:type="spellEnd"/>
      <w:r w:rsidRPr="00D066F2">
        <w:rPr>
          <w:rStyle w:val="apple-converted-space"/>
          <w:rFonts w:ascii="Arial" w:hAnsi="Arial" w:cs="Arial"/>
          <w:color w:val="222222"/>
          <w:lang w:val="fr-FR"/>
        </w:rPr>
        <w:t xml:space="preserve"> et un modem cellulaire intégré approuvé dans le monde entier.</w:t>
      </w:r>
    </w:p>
    <w:p w:rsidR="00D066F2" w:rsidRPr="00D066F2" w:rsidRDefault="00D066F2" w:rsidP="00D066F2">
      <w:pPr>
        <w:pStyle w:val="NormalWeb"/>
        <w:jc w:val="both"/>
        <w:rPr>
          <w:rStyle w:val="apple-converted-space"/>
          <w:rFonts w:ascii="Arial" w:hAnsi="Arial" w:cs="Arial"/>
          <w:color w:val="222222"/>
          <w:lang w:val="fr-FR"/>
        </w:rPr>
      </w:pPr>
      <w:r w:rsidRPr="00D066F2">
        <w:rPr>
          <w:rStyle w:val="apple-converted-space"/>
          <w:rFonts w:ascii="Arial" w:hAnsi="Arial" w:cs="Arial"/>
          <w:color w:val="222222"/>
          <w:lang w:val="fr-FR"/>
        </w:rPr>
        <w:lastRenderedPageBreak/>
        <w:t xml:space="preserve">Système auquel on peut accéder par l’intermédiaire d’un portail Web sécurisé, Delta Log est conçu pour fournir une interface intuitive permettant de gérer les observations, les types cibles et le planning des mesures. Delta Log fournit une plateforme simple pour une fonctionnalité de pointe – des fonctions Topcon uniques, telles que la détection de matrice, se commande intuitivement dans tout le logiciel », explique Ian </w:t>
      </w:r>
      <w:proofErr w:type="spellStart"/>
      <w:r w:rsidRPr="00D066F2">
        <w:rPr>
          <w:rStyle w:val="apple-converted-space"/>
          <w:rFonts w:ascii="Arial" w:hAnsi="Arial" w:cs="Arial"/>
          <w:color w:val="222222"/>
          <w:lang w:val="fr-FR"/>
        </w:rPr>
        <w:t>Stilgoe</w:t>
      </w:r>
      <w:proofErr w:type="spellEnd"/>
      <w:r w:rsidRPr="00D066F2">
        <w:rPr>
          <w:rStyle w:val="apple-converted-space"/>
          <w:rFonts w:ascii="Arial" w:hAnsi="Arial" w:cs="Arial"/>
          <w:color w:val="222222"/>
          <w:lang w:val="fr-FR"/>
        </w:rPr>
        <w:t>.</w:t>
      </w:r>
    </w:p>
    <w:p w:rsidR="00D066F2" w:rsidRPr="00D066F2" w:rsidRDefault="00D066F2" w:rsidP="00D066F2">
      <w:pPr>
        <w:pStyle w:val="NormalWeb"/>
        <w:jc w:val="both"/>
        <w:rPr>
          <w:rStyle w:val="apple-converted-space"/>
          <w:rFonts w:ascii="Arial" w:hAnsi="Arial" w:cs="Arial"/>
          <w:color w:val="222222"/>
          <w:lang w:val="fr-FR"/>
        </w:rPr>
      </w:pPr>
      <w:r w:rsidRPr="00D066F2">
        <w:rPr>
          <w:rStyle w:val="apple-converted-space"/>
          <w:rFonts w:ascii="Arial" w:hAnsi="Arial" w:cs="Arial"/>
          <w:color w:val="222222"/>
          <w:lang w:val="fr-FR"/>
        </w:rPr>
        <w:t>« Delta Log continue à faire fonctionner la station totale si la communication avec la base de données Delta Watch est interrompue », explique-t-il. « Une fois la communication rétablie, les données sont synchronisées et la base de données principale est mise à jour. »</w:t>
      </w:r>
    </w:p>
    <w:p w:rsidR="00D066F2" w:rsidRPr="00D066F2" w:rsidRDefault="00D066F2" w:rsidP="00D066F2">
      <w:pPr>
        <w:pStyle w:val="NormalWeb"/>
        <w:jc w:val="both"/>
        <w:rPr>
          <w:rStyle w:val="apple-converted-space"/>
          <w:rFonts w:ascii="Arial" w:hAnsi="Arial" w:cs="Arial"/>
          <w:color w:val="222222"/>
          <w:lang w:val="fr-FR"/>
        </w:rPr>
      </w:pPr>
      <w:r w:rsidRPr="00D066F2">
        <w:rPr>
          <w:rStyle w:val="apple-converted-space"/>
          <w:rFonts w:ascii="Arial" w:hAnsi="Arial" w:cs="Arial"/>
          <w:color w:val="222222"/>
          <w:lang w:val="fr-FR"/>
        </w:rPr>
        <w:t xml:space="preserve">Delta Watch intègre le module de traitement Delta </w:t>
      </w:r>
      <w:proofErr w:type="spellStart"/>
      <w:r w:rsidRPr="00D066F2">
        <w:rPr>
          <w:rStyle w:val="apple-converted-space"/>
          <w:rFonts w:ascii="Arial" w:hAnsi="Arial" w:cs="Arial"/>
          <w:color w:val="222222"/>
          <w:lang w:val="fr-FR"/>
        </w:rPr>
        <w:t>Sat</w:t>
      </w:r>
      <w:proofErr w:type="spellEnd"/>
      <w:r w:rsidRPr="00D066F2">
        <w:rPr>
          <w:rStyle w:val="apple-converted-space"/>
          <w:rFonts w:ascii="Arial" w:hAnsi="Arial" w:cs="Arial"/>
          <w:color w:val="222222"/>
          <w:lang w:val="fr-FR"/>
        </w:rPr>
        <w:t xml:space="preserve"> GNSS disponible en option qui permet une surveillance GNSS autonome ou des ajustements au réseau GNSS/station totale.</w:t>
      </w:r>
    </w:p>
    <w:p w:rsidR="00976061" w:rsidRPr="00D066F2" w:rsidRDefault="00D066F2" w:rsidP="00D066F2">
      <w:pPr>
        <w:pStyle w:val="NormalWeb"/>
        <w:jc w:val="both"/>
        <w:rPr>
          <w:rStyle w:val="apple-converted-space"/>
          <w:rFonts w:ascii="Arial" w:hAnsi="Arial" w:cs="Arial"/>
          <w:color w:val="222222"/>
          <w:lang w:val="fr-FR"/>
        </w:rPr>
      </w:pPr>
      <w:r w:rsidRPr="00D066F2">
        <w:rPr>
          <w:rStyle w:val="apple-converted-space"/>
          <w:rFonts w:ascii="Arial" w:hAnsi="Arial" w:cs="Arial"/>
          <w:color w:val="222222"/>
          <w:lang w:val="fr-FR"/>
        </w:rPr>
        <w:t>Les solutions Delta de Topcon sont le résultat du partenariat entre Topcon et VMT GmbH, le spécialiste de la surveillance de déformation et de la construction de tunnels.</w:t>
      </w:r>
    </w:p>
    <w:p w:rsidR="006F4A9E" w:rsidRPr="00D066F2" w:rsidRDefault="006F4A9E" w:rsidP="00976061">
      <w:pPr>
        <w:spacing w:before="100" w:beforeAutospacing="1" w:after="100" w:afterAutospacing="1"/>
        <w:jc w:val="both"/>
        <w:rPr>
          <w:rStyle w:val="apple-converted-space"/>
          <w:rFonts w:ascii="Arial" w:eastAsia="MS Mincho" w:hAnsi="Arial" w:cs="Arial"/>
          <w:color w:val="222222"/>
          <w:sz w:val="20"/>
          <w:szCs w:val="20"/>
          <w:lang w:val="fr-FR"/>
        </w:rPr>
      </w:pPr>
      <w:r w:rsidRPr="00D066F2">
        <w:rPr>
          <w:rStyle w:val="apple-converted-space"/>
          <w:rFonts w:ascii="Arial" w:eastAsia="MS Mincho" w:hAnsi="Arial" w:cs="Arial"/>
          <w:color w:val="222222"/>
          <w:sz w:val="20"/>
          <w:szCs w:val="20"/>
          <w:lang w:val="fr-FR"/>
        </w:rPr>
        <w:t>Pour en savoir plus, rendez-vous sur topconpositioning.fr.</w:t>
      </w: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10"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11"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8D64B8"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2"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F36B87" w:rsidRDefault="00D43924" w:rsidP="00D066F2">
            <w:pPr>
              <w:jc w:val="right"/>
              <w:rPr>
                <w:rFonts w:ascii="Arial" w:hAnsi="Arial"/>
                <w:color w:val="808080" w:themeColor="background1" w:themeShade="80"/>
                <w:sz w:val="16"/>
                <w:szCs w:val="18"/>
              </w:rPr>
            </w:pPr>
            <w:r w:rsidRPr="00F36B87">
              <w:rPr>
                <w:rFonts w:ascii="Arial" w:hAnsi="Arial"/>
                <w:color w:val="808080" w:themeColor="background1" w:themeShade="80"/>
                <w:sz w:val="16"/>
                <w:szCs w:val="18"/>
              </w:rPr>
              <w:t xml:space="preserve">Date: </w:t>
            </w:r>
            <w:r w:rsidR="00D066F2">
              <w:rPr>
                <w:rFonts w:ascii="Arial" w:hAnsi="Arial"/>
                <w:color w:val="808080" w:themeColor="background1" w:themeShade="80"/>
                <w:sz w:val="16"/>
                <w:szCs w:val="18"/>
              </w:rPr>
              <w:t>October 11</w:t>
            </w:r>
            <w:r w:rsidRPr="00F36B87">
              <w:rPr>
                <w:rFonts w:ascii="Arial" w:hAnsi="Arial"/>
                <w:color w:val="808080" w:themeColor="background1" w:themeShade="80"/>
                <w:sz w:val="16"/>
                <w:szCs w:val="18"/>
              </w:rPr>
              <w:t>, 2016</w:t>
            </w:r>
            <w:r w:rsidRPr="00F36B87">
              <w:rPr>
                <w:rFonts w:ascii="Arial" w:hAnsi="Arial"/>
                <w:color w:val="808080" w:themeColor="background1" w:themeShade="80"/>
                <w:sz w:val="16"/>
                <w:szCs w:val="18"/>
              </w:rPr>
              <w:br/>
            </w:r>
            <w:proofErr w:type="spellStart"/>
            <w:r w:rsidRPr="00F36B87">
              <w:rPr>
                <w:rFonts w:ascii="Arial" w:hAnsi="Arial"/>
                <w:color w:val="808080" w:themeColor="background1" w:themeShade="80"/>
                <w:sz w:val="16"/>
                <w:szCs w:val="18"/>
              </w:rPr>
              <w:t>Numéro</w:t>
            </w:r>
            <w:proofErr w:type="spellEnd"/>
            <w:r w:rsidRPr="00F36B87">
              <w:rPr>
                <w:rFonts w:ascii="Arial" w:hAnsi="Arial"/>
                <w:color w:val="808080" w:themeColor="background1" w:themeShade="80"/>
                <w:sz w:val="16"/>
                <w:szCs w:val="18"/>
              </w:rPr>
              <w:t xml:space="preserve">: </w:t>
            </w:r>
            <w:r w:rsidR="00E84571" w:rsidRPr="00E84571">
              <w:rPr>
                <w:rFonts w:ascii="Arial" w:hAnsi="Arial"/>
                <w:color w:val="808080" w:themeColor="background1" w:themeShade="80"/>
                <w:sz w:val="16"/>
                <w:szCs w:val="18"/>
                <w:lang w:val="fr-FR"/>
              </w:rPr>
              <w:fldChar w:fldCharType="begin"/>
            </w:r>
            <w:r w:rsidR="00E84571" w:rsidRPr="00F36B87">
              <w:rPr>
                <w:rFonts w:ascii="Arial" w:hAnsi="Arial"/>
                <w:color w:val="808080" w:themeColor="background1" w:themeShade="80"/>
                <w:sz w:val="16"/>
                <w:szCs w:val="18"/>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B47FEF">
              <w:rPr>
                <w:rFonts w:ascii="Arial" w:hAnsi="Arial"/>
                <w:noProof/>
                <w:color w:val="808080" w:themeColor="background1" w:themeShade="80"/>
                <w:sz w:val="16"/>
                <w:szCs w:val="18"/>
              </w:rPr>
              <w:t>FR.PR 14 2016 - Delta Solutions</w:t>
            </w:r>
            <w:r w:rsidR="00E84571" w:rsidRPr="00E84571">
              <w:rPr>
                <w:rFonts w:ascii="Arial" w:hAnsi="Arial"/>
                <w:color w:val="808080" w:themeColor="background1" w:themeShade="80"/>
                <w:sz w:val="16"/>
                <w:szCs w:val="18"/>
                <w:lang w:val="fr-FR"/>
              </w:rPr>
              <w:fldChar w:fldCharType="end"/>
            </w:r>
            <w:bookmarkStart w:id="0" w:name="_GoBack"/>
            <w:bookmarkEnd w:id="0"/>
          </w:p>
        </w:tc>
      </w:tr>
    </w:tbl>
    <w:p w:rsidR="00853C9A" w:rsidRPr="00D43924" w:rsidRDefault="008D64B8" w:rsidP="008D64B8">
      <w:pPr>
        <w:tabs>
          <w:tab w:val="left" w:pos="3684"/>
          <w:tab w:val="right" w:pos="9639"/>
        </w:tabs>
        <w:spacing w:before="100" w:beforeAutospacing="1" w:after="100" w:afterAutospacing="1"/>
        <w:rPr>
          <w:rFonts w:ascii="Arial" w:hAnsi="Arial"/>
          <w:color w:val="808080" w:themeColor="background1" w:themeShade="80"/>
          <w:sz w:val="16"/>
          <w:szCs w:val="18"/>
          <w:lang w:val="fr-FR"/>
        </w:rPr>
      </w:pPr>
      <w:r w:rsidRPr="00F36B87">
        <w:rPr>
          <w:rFonts w:ascii="Arial" w:hAnsi="Arial"/>
          <w:color w:val="808080" w:themeColor="background1" w:themeShade="80"/>
          <w:sz w:val="16"/>
          <w:szCs w:val="18"/>
        </w:rPr>
        <w:tab/>
      </w:r>
      <w:r w:rsidRPr="00F36B87">
        <w:rPr>
          <w:rFonts w:ascii="Arial" w:hAnsi="Arial"/>
          <w:color w:val="808080" w:themeColor="background1" w:themeShade="80"/>
          <w:sz w:val="16"/>
          <w:szCs w:val="18"/>
        </w:rPr>
        <w:tab/>
      </w:r>
      <w:r w:rsidR="00D43924" w:rsidRPr="00D43924">
        <w:rPr>
          <w:rFonts w:ascii="Arial" w:hAnsi="Arial"/>
          <w:color w:val="808080" w:themeColor="background1" w:themeShade="80"/>
          <w:sz w:val="16"/>
          <w:szCs w:val="18"/>
          <w:lang w:val="fr-FR"/>
        </w:rPr>
        <w:t>© 2016 TOPCON POSITIONING FRANCE</w:t>
      </w:r>
    </w:p>
    <w:sectPr w:rsidR="00853C9A" w:rsidRPr="00D43924" w:rsidSect="0014058F">
      <w:headerReference w:type="default" r:id="rId13"/>
      <w:footerReference w:type="default" r:id="rId14"/>
      <w:headerReference w:type="first" r:id="rId15"/>
      <w:footerReference w:type="first" r:id="rId16"/>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D066F2" w:rsidP="00523F6E">
        <w:pPr>
          <w:pStyle w:val="Pieddepage"/>
          <w:tabs>
            <w:tab w:val="clear" w:pos="4320"/>
            <w:tab w:val="clear" w:pos="8640"/>
            <w:tab w:val="center" w:pos="5387"/>
            <w:tab w:val="right" w:pos="9923"/>
          </w:tabs>
          <w:rPr>
            <w:rFonts w:ascii="Arial" w:hAnsi="Arial" w:cs="Arial"/>
            <w:sz w:val="20"/>
            <w:lang w:val="fr-FR"/>
          </w:rPr>
        </w:pPr>
        <w:r>
          <w:rPr>
            <w:rFonts w:ascii="Arial" w:hAnsi="Arial" w:cs="Arial"/>
            <w:sz w:val="20"/>
            <w:lang w:val="fr-FR"/>
          </w:rPr>
          <w:t>11</w:t>
        </w:r>
        <w:r w:rsidR="00FD6D8C">
          <w:rPr>
            <w:rFonts w:ascii="Arial" w:hAnsi="Arial" w:cs="Arial"/>
            <w:sz w:val="20"/>
            <w:lang w:val="fr-FR"/>
          </w:rPr>
          <w:t>/</w:t>
        </w:r>
        <w:r>
          <w:rPr>
            <w:rFonts w:ascii="Arial" w:hAnsi="Arial" w:cs="Arial"/>
            <w:sz w:val="20"/>
            <w:lang w:val="fr-FR"/>
          </w:rPr>
          <w:t>10</w:t>
        </w:r>
        <w:r w:rsidR="00E84571" w:rsidRPr="00E84571">
          <w:rPr>
            <w:rFonts w:ascii="Arial" w:hAnsi="Arial" w:cs="Arial"/>
            <w:sz w:val="20"/>
            <w:lang w:val="fr-FR"/>
          </w:rPr>
          <w:t>/2016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sidR="00B47FEF">
          <w:rPr>
            <w:rFonts w:ascii="Arial" w:hAnsi="Arial" w:cs="Arial"/>
            <w:noProof/>
            <w:sz w:val="20"/>
            <w:lang w:val="fr-FR"/>
          </w:rPr>
          <w:t>FR.PR 14 2016 - Delta Solutions</w:t>
        </w:r>
        <w:r w:rsidR="00E03BCD">
          <w:rPr>
            <w:rFonts w:ascii="Arial" w:hAnsi="Arial" w:cs="Arial"/>
            <w:sz w:val="20"/>
            <w:lang w:val="fr-FR"/>
          </w:rPr>
          <w:fldChar w:fldCharType="end"/>
        </w:r>
        <w:r w:rsidR="0048722B">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B47FEF">
              <w:rPr>
                <w:rFonts w:ascii="Arial" w:hAnsi="Arial" w:cs="Arial"/>
                <w:b/>
                <w:bCs/>
                <w:noProof/>
                <w:sz w:val="20"/>
                <w:lang w:val="fr-FR"/>
              </w:rPr>
              <w:t>2</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B47FEF">
              <w:rPr>
                <w:rFonts w:ascii="Arial" w:hAnsi="Arial" w:cs="Arial"/>
                <w:b/>
                <w:bCs/>
                <w:noProof/>
                <w:sz w:val="20"/>
                <w:lang w:val="fr-FR"/>
              </w:rPr>
              <w:t>2</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B47FEF">
      <w:rPr>
        <w:rFonts w:ascii="Arial" w:hAnsi="Arial" w:cs="Arial"/>
        <w:noProof/>
        <w:sz w:val="20"/>
        <w:lang w:val="fr-FR"/>
      </w:rPr>
      <w:t>10/02/2017</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74361C">
      <w:rPr>
        <w:rFonts w:ascii="Arial" w:hAnsi="Arial" w:cs="Arial"/>
        <w:noProof/>
        <w:sz w:val="20"/>
        <w:lang w:val="fr-FR"/>
      </w:rPr>
      <w:t>FR 2016 PR 0X - Système LPS pour Béton</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74361C">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margin">
            <wp:align>center</wp:align>
          </wp:positionH>
          <wp:positionV relativeFrom="paragraph">
            <wp:posOffset>-5080</wp:posOffset>
          </wp:positionV>
          <wp:extent cx="7252335" cy="1093497"/>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4058F"/>
    <w:rsid w:val="00156868"/>
    <w:rsid w:val="00163F32"/>
    <w:rsid w:val="00165ADA"/>
    <w:rsid w:val="00177523"/>
    <w:rsid w:val="001855FB"/>
    <w:rsid w:val="001A276A"/>
    <w:rsid w:val="001A5950"/>
    <w:rsid w:val="001B6BA0"/>
    <w:rsid w:val="001D47AE"/>
    <w:rsid w:val="001E495F"/>
    <w:rsid w:val="001F02F7"/>
    <w:rsid w:val="0020512E"/>
    <w:rsid w:val="00211CAC"/>
    <w:rsid w:val="0021353A"/>
    <w:rsid w:val="00220127"/>
    <w:rsid w:val="00234742"/>
    <w:rsid w:val="002377E8"/>
    <w:rsid w:val="00265C21"/>
    <w:rsid w:val="00267859"/>
    <w:rsid w:val="002751AA"/>
    <w:rsid w:val="00283421"/>
    <w:rsid w:val="002B2158"/>
    <w:rsid w:val="002B65A9"/>
    <w:rsid w:val="002E0484"/>
    <w:rsid w:val="002E2BC8"/>
    <w:rsid w:val="002E5E21"/>
    <w:rsid w:val="002F1192"/>
    <w:rsid w:val="00313F6E"/>
    <w:rsid w:val="0032173B"/>
    <w:rsid w:val="003217F4"/>
    <w:rsid w:val="00340920"/>
    <w:rsid w:val="00353911"/>
    <w:rsid w:val="00355294"/>
    <w:rsid w:val="00364235"/>
    <w:rsid w:val="003801D4"/>
    <w:rsid w:val="0039761D"/>
    <w:rsid w:val="003A6C06"/>
    <w:rsid w:val="003A7243"/>
    <w:rsid w:val="003B1941"/>
    <w:rsid w:val="003B49D6"/>
    <w:rsid w:val="003C6648"/>
    <w:rsid w:val="003E170C"/>
    <w:rsid w:val="003F134C"/>
    <w:rsid w:val="003F5E34"/>
    <w:rsid w:val="0040077B"/>
    <w:rsid w:val="00413E95"/>
    <w:rsid w:val="00416269"/>
    <w:rsid w:val="0043387D"/>
    <w:rsid w:val="00433A38"/>
    <w:rsid w:val="00457385"/>
    <w:rsid w:val="00471166"/>
    <w:rsid w:val="0048722B"/>
    <w:rsid w:val="004C2A52"/>
    <w:rsid w:val="004D1952"/>
    <w:rsid w:val="00513E5B"/>
    <w:rsid w:val="00523F6E"/>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6590C"/>
    <w:rsid w:val="006926B3"/>
    <w:rsid w:val="006B2A9A"/>
    <w:rsid w:val="006D64B0"/>
    <w:rsid w:val="006E05C2"/>
    <w:rsid w:val="006F4A9E"/>
    <w:rsid w:val="00711ACF"/>
    <w:rsid w:val="0074361C"/>
    <w:rsid w:val="007530F6"/>
    <w:rsid w:val="00756005"/>
    <w:rsid w:val="007605FA"/>
    <w:rsid w:val="00765F8C"/>
    <w:rsid w:val="00773A4C"/>
    <w:rsid w:val="00782E66"/>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D64B8"/>
    <w:rsid w:val="008E6FD9"/>
    <w:rsid w:val="008F54A3"/>
    <w:rsid w:val="009434F4"/>
    <w:rsid w:val="00956EF7"/>
    <w:rsid w:val="009666D5"/>
    <w:rsid w:val="00975493"/>
    <w:rsid w:val="00976061"/>
    <w:rsid w:val="009864E1"/>
    <w:rsid w:val="009964DE"/>
    <w:rsid w:val="009D13BF"/>
    <w:rsid w:val="009D5D4F"/>
    <w:rsid w:val="00A03F84"/>
    <w:rsid w:val="00A06D66"/>
    <w:rsid w:val="00A159BE"/>
    <w:rsid w:val="00A47E24"/>
    <w:rsid w:val="00A57BD4"/>
    <w:rsid w:val="00A60195"/>
    <w:rsid w:val="00A71326"/>
    <w:rsid w:val="00A9365C"/>
    <w:rsid w:val="00A976A5"/>
    <w:rsid w:val="00AA2A43"/>
    <w:rsid w:val="00AC09BA"/>
    <w:rsid w:val="00AE6481"/>
    <w:rsid w:val="00B35AF9"/>
    <w:rsid w:val="00B402B7"/>
    <w:rsid w:val="00B4058E"/>
    <w:rsid w:val="00B47FEF"/>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B1B62"/>
    <w:rsid w:val="00CD3455"/>
    <w:rsid w:val="00CD6207"/>
    <w:rsid w:val="00CE188F"/>
    <w:rsid w:val="00CE7843"/>
    <w:rsid w:val="00CF403B"/>
    <w:rsid w:val="00CF7FC5"/>
    <w:rsid w:val="00D066F2"/>
    <w:rsid w:val="00D43924"/>
    <w:rsid w:val="00D45505"/>
    <w:rsid w:val="00D47414"/>
    <w:rsid w:val="00D55832"/>
    <w:rsid w:val="00D6369D"/>
    <w:rsid w:val="00D647FC"/>
    <w:rsid w:val="00D672DA"/>
    <w:rsid w:val="00D6784A"/>
    <w:rsid w:val="00D70734"/>
    <w:rsid w:val="00D70AF0"/>
    <w:rsid w:val="00D70EE2"/>
    <w:rsid w:val="00D91CF0"/>
    <w:rsid w:val="00D979CB"/>
    <w:rsid w:val="00DC60A0"/>
    <w:rsid w:val="00DC636A"/>
    <w:rsid w:val="00E03BCD"/>
    <w:rsid w:val="00E07F73"/>
    <w:rsid w:val="00E16158"/>
    <w:rsid w:val="00E32B47"/>
    <w:rsid w:val="00E84571"/>
    <w:rsid w:val="00EB1000"/>
    <w:rsid w:val="00ED70D3"/>
    <w:rsid w:val="00EE33D2"/>
    <w:rsid w:val="00EE65B5"/>
    <w:rsid w:val="00F36B87"/>
    <w:rsid w:val="00F463E2"/>
    <w:rsid w:val="00F55F20"/>
    <w:rsid w:val="00F757D3"/>
    <w:rsid w:val="00F81B4F"/>
    <w:rsid w:val="00F86AB9"/>
    <w:rsid w:val="00F86B3B"/>
    <w:rsid w:val="00F928CD"/>
    <w:rsid w:val="00F94B69"/>
    <w:rsid w:val="00F94E58"/>
    <w:rsid w:val="00FA3772"/>
    <w:rsid w:val="00FA580C"/>
    <w:rsid w:val="00FB0DA8"/>
    <w:rsid w:val="00FB146B"/>
    <w:rsid w:val="00FB4CB7"/>
    <w:rsid w:val="00FB613D"/>
    <w:rsid w:val="00FD032D"/>
    <w:rsid w:val="00FD070E"/>
    <w:rsid w:val="00FD6101"/>
    <w:rsid w:val="00FD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 w:type="character" w:styleId="lev">
    <w:name w:val="Strong"/>
    <w:basedOn w:val="Policepardfaut"/>
    <w:uiPriority w:val="22"/>
    <w:qFormat/>
    <w:rsid w:val="002E0484"/>
    <w:rPr>
      <w:b/>
      <w:bCs/>
    </w:rPr>
  </w:style>
  <w:style w:type="character" w:styleId="Accentuation">
    <w:name w:val="Emphasis"/>
    <w:basedOn w:val="Policepardfaut"/>
    <w:uiPriority w:val="20"/>
    <w:qFormat/>
    <w:rsid w:val="002E0484"/>
    <w:rPr>
      <w:i/>
      <w:iCs/>
    </w:rPr>
  </w:style>
  <w:style w:type="character" w:customStyle="1" w:styleId="apple-converted-space">
    <w:name w:val="apple-converted-space"/>
    <w:basedOn w:val="Policepardfaut"/>
    <w:rsid w:val="002E0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696544398">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 w:id="1137917779">
      <w:bodyDiv w:val="1"/>
      <w:marLeft w:val="0"/>
      <w:marRight w:val="0"/>
      <w:marTop w:val="0"/>
      <w:marBottom w:val="0"/>
      <w:divBdr>
        <w:top w:val="none" w:sz="0" w:space="0" w:color="auto"/>
        <w:left w:val="none" w:sz="0" w:space="0" w:color="auto"/>
        <w:bottom w:val="none" w:sz="0" w:space="0" w:color="auto"/>
        <w:right w:val="none" w:sz="0" w:space="0" w:color="auto"/>
      </w:divBdr>
    </w:div>
    <w:div w:id="1156604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fr-fr/total-station-solutions/robotic-total-stations/s%C3%A9rie-m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pconpositioning.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uart.proctor@topconsokki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bnecker@topcon.fr"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413BB-7D1E-459F-B71C-0928A9591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3726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4331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2017-02-10T16:00:00Z</dcterms:modified>
</cp:coreProperties>
</file>